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47" w:rsidRDefault="00F74836" w:rsidP="00F74836">
      <w:pPr>
        <w:tabs>
          <w:tab w:val="left" w:pos="2385"/>
        </w:tabs>
        <w:spacing w:before="81"/>
        <w:ind w:left="103"/>
        <w:jc w:val="center"/>
        <w:rPr>
          <w:rFonts w:ascii="Lato" w:eastAsia="Times" w:hAnsi="Lato" w:cs="Times"/>
          <w:b/>
          <w:color w:val="AE9A64"/>
          <w:sz w:val="28"/>
          <w:szCs w:val="28"/>
        </w:rPr>
      </w:pPr>
      <w:r>
        <w:rPr>
          <w:rFonts w:ascii="Lato" w:eastAsia="Times" w:hAnsi="Lato" w:cs="Times"/>
          <w:b/>
          <w:color w:val="AE9A64"/>
          <w:sz w:val="28"/>
          <w:szCs w:val="28"/>
        </w:rPr>
        <w:br/>
      </w:r>
      <w:r>
        <w:rPr>
          <w:rFonts w:ascii="Lato" w:eastAsia="Times" w:hAnsi="Lato" w:cs="Times"/>
          <w:b/>
          <w:color w:val="AE9A64"/>
          <w:sz w:val="28"/>
          <w:szCs w:val="28"/>
        </w:rPr>
        <w:br/>
      </w:r>
      <w:bookmarkStart w:id="0" w:name="_GoBack"/>
      <w:bookmarkEnd w:id="0"/>
      <w:r w:rsidR="00EA04F0" w:rsidRPr="00EA04F0">
        <w:rPr>
          <w:rFonts w:ascii="Lato" w:eastAsia="Times" w:hAnsi="Lato" w:cs="Times"/>
          <w:b/>
          <w:color w:val="AE9A64"/>
          <w:sz w:val="28"/>
          <w:szCs w:val="28"/>
        </w:rPr>
        <w:t>Home Insurance – Product Snapshot</w:t>
      </w:r>
    </w:p>
    <w:p w:rsidR="00EA04F0" w:rsidRPr="00EA04F0" w:rsidRDefault="00EA04F0" w:rsidP="00EA04F0">
      <w:pPr>
        <w:tabs>
          <w:tab w:val="left" w:pos="2385"/>
        </w:tabs>
        <w:spacing w:before="81"/>
        <w:ind w:left="103"/>
        <w:jc w:val="center"/>
        <w:rPr>
          <w:rFonts w:ascii="Lato" w:eastAsia="Times" w:hAnsi="Lato" w:cs="Times"/>
          <w:b/>
          <w:color w:val="AE9A64"/>
          <w:sz w:val="28"/>
          <w:szCs w:val="28"/>
        </w:rPr>
      </w:pPr>
    </w:p>
    <w:tbl>
      <w:tblPr>
        <w:tblW w:w="0" w:type="auto"/>
        <w:tblInd w:w="1074" w:type="dxa"/>
        <w:tblLayout w:type="fixed"/>
        <w:tblCellMar>
          <w:left w:w="0" w:type="dxa"/>
          <w:right w:w="0" w:type="dxa"/>
        </w:tblCellMar>
        <w:tblLook w:val="01E0" w:firstRow="1" w:lastRow="1" w:firstColumn="1" w:lastColumn="1" w:noHBand="0" w:noVBand="0"/>
      </w:tblPr>
      <w:tblGrid>
        <w:gridCol w:w="13512"/>
      </w:tblGrid>
      <w:tr w:rsidR="00EA04F0" w:rsidRPr="00827B0B" w:rsidTr="00EA04F0">
        <w:trPr>
          <w:trHeight w:hRule="exact" w:val="238"/>
        </w:trPr>
        <w:tc>
          <w:tcPr>
            <w:tcW w:w="13512" w:type="dxa"/>
            <w:tcBorders>
              <w:top w:val="single" w:sz="5" w:space="0" w:color="AD9A63"/>
              <w:left w:val="single" w:sz="5" w:space="0" w:color="AD9A63"/>
              <w:bottom w:val="single" w:sz="5" w:space="0" w:color="AD9A63"/>
              <w:right w:val="single" w:sz="5" w:space="0" w:color="AD9A63"/>
            </w:tcBorders>
          </w:tcPr>
          <w:p w:rsidR="00EA04F0" w:rsidRPr="00EA04F0" w:rsidRDefault="00EA04F0" w:rsidP="00EA04F0">
            <w:pPr>
              <w:pStyle w:val="Heading1"/>
              <w:ind w:left="102"/>
              <w:rPr>
                <w:b w:val="0"/>
                <w:bCs w:val="0"/>
                <w:sz w:val="20"/>
                <w:szCs w:val="20"/>
              </w:rPr>
            </w:pPr>
            <w:r w:rsidRPr="00EA04F0">
              <w:rPr>
                <w:color w:val="A39161"/>
                <w:spacing w:val="-1"/>
                <w:sz w:val="20"/>
                <w:szCs w:val="20"/>
              </w:rPr>
              <w:t>Benefits</w:t>
            </w:r>
            <w:r w:rsidRPr="00EA04F0">
              <w:rPr>
                <w:color w:val="A39161"/>
                <w:spacing w:val="-13"/>
                <w:sz w:val="20"/>
                <w:szCs w:val="20"/>
              </w:rPr>
              <w:t xml:space="preserve"> </w:t>
            </w:r>
            <w:r w:rsidRPr="00EA04F0">
              <w:rPr>
                <w:color w:val="A39161"/>
                <w:spacing w:val="-1"/>
                <w:sz w:val="20"/>
                <w:szCs w:val="20"/>
              </w:rPr>
              <w:t>Summary</w:t>
            </w:r>
          </w:p>
          <w:p w:rsidR="00EA04F0" w:rsidRPr="00EA04F0" w:rsidRDefault="00EA04F0">
            <w:pPr>
              <w:pStyle w:val="TableParagraph"/>
              <w:spacing w:line="224" w:lineRule="exact"/>
              <w:ind w:right="2"/>
              <w:jc w:val="center"/>
              <w:rPr>
                <w:rFonts w:ascii="Lato" w:eastAsia="Lato" w:hAnsi="Lato" w:cs="Lato"/>
                <w:sz w:val="20"/>
                <w:szCs w:val="20"/>
              </w:rPr>
            </w:pPr>
          </w:p>
        </w:tc>
      </w:tr>
      <w:tr w:rsidR="00EA04F0" w:rsidRPr="00827B0B" w:rsidTr="00EA04F0">
        <w:trPr>
          <w:trHeight w:hRule="exact" w:val="699"/>
        </w:trPr>
        <w:tc>
          <w:tcPr>
            <w:tcW w:w="13512" w:type="dxa"/>
            <w:tcBorders>
              <w:top w:val="single" w:sz="5" w:space="0" w:color="AD9A63"/>
              <w:left w:val="single" w:sz="5" w:space="0" w:color="AD9A63"/>
              <w:bottom w:val="single" w:sz="5" w:space="0" w:color="AD9A63"/>
              <w:right w:val="single" w:sz="5" w:space="0" w:color="AD9A63"/>
            </w:tcBorders>
          </w:tcPr>
          <w:p w:rsidR="00EA04F0" w:rsidRPr="00EA04F0" w:rsidRDefault="00EA04F0" w:rsidP="00EA04F0">
            <w:pPr>
              <w:pStyle w:val="ListParagraph"/>
              <w:numPr>
                <w:ilvl w:val="0"/>
                <w:numId w:val="11"/>
              </w:numPr>
              <w:tabs>
                <w:tab w:val="left" w:pos="1069"/>
              </w:tabs>
              <w:spacing w:before="63" w:line="275" w:lineRule="auto"/>
              <w:ind w:right="1206"/>
              <w:rPr>
                <w:rFonts w:ascii="Lato" w:eastAsia="Lato" w:hAnsi="Lato" w:cs="Lato"/>
                <w:sz w:val="20"/>
                <w:szCs w:val="20"/>
              </w:rPr>
            </w:pPr>
            <w:r w:rsidRPr="00EA04F0">
              <w:rPr>
                <w:rFonts w:ascii="Lato"/>
                <w:b/>
                <w:color w:val="231F20"/>
                <w:spacing w:val="-1"/>
                <w:sz w:val="20"/>
                <w:szCs w:val="20"/>
              </w:rPr>
              <w:t>Building</w:t>
            </w:r>
            <w:r w:rsidRPr="00EA04F0">
              <w:rPr>
                <w:rFonts w:ascii="Lato"/>
                <w:b/>
                <w:color w:val="231F20"/>
                <w:spacing w:val="-2"/>
                <w:sz w:val="20"/>
                <w:szCs w:val="20"/>
              </w:rPr>
              <w:t xml:space="preserve"> cover</w:t>
            </w:r>
            <w:r w:rsidRPr="00EA04F0">
              <w:rPr>
                <w:rFonts w:ascii="Lato"/>
                <w:b/>
                <w:color w:val="231F20"/>
                <w:spacing w:val="-1"/>
                <w:sz w:val="20"/>
                <w:szCs w:val="20"/>
              </w:rPr>
              <w:t xml:space="preserve"> </w:t>
            </w:r>
            <w:r w:rsidRPr="00EA04F0">
              <w:rPr>
                <w:rFonts w:ascii="Lato"/>
                <w:b/>
                <w:color w:val="231F20"/>
                <w:spacing w:val="-2"/>
                <w:sz w:val="20"/>
                <w:szCs w:val="20"/>
              </w:rPr>
              <w:t>(owner</w:t>
            </w:r>
            <w:r w:rsidRPr="00EA04F0">
              <w:rPr>
                <w:rFonts w:ascii="Lato"/>
                <w:b/>
                <w:color w:val="231F20"/>
                <w:spacing w:val="-1"/>
                <w:sz w:val="20"/>
                <w:szCs w:val="20"/>
              </w:rPr>
              <w:t xml:space="preserve"> only):</w:t>
            </w:r>
            <w:r w:rsidRPr="00EA04F0">
              <w:rPr>
                <w:rFonts w:ascii="Lato"/>
                <w:b/>
                <w:color w:val="231F20"/>
                <w:sz w:val="20"/>
                <w:szCs w:val="20"/>
              </w:rPr>
              <w:t xml:space="preserve"> </w:t>
            </w:r>
            <w:r w:rsidRPr="00EA04F0">
              <w:rPr>
                <w:rFonts w:ascii="Lato"/>
                <w:color w:val="231F20"/>
                <w:spacing w:val="-1"/>
                <w:sz w:val="20"/>
                <w:szCs w:val="20"/>
              </w:rPr>
              <w:t>Covers</w:t>
            </w:r>
            <w:r w:rsidRPr="00EA04F0">
              <w:rPr>
                <w:rFonts w:ascii="Lato"/>
                <w:color w:val="231F20"/>
                <w:spacing w:val="-2"/>
                <w:sz w:val="20"/>
                <w:szCs w:val="20"/>
              </w:rPr>
              <w:t xml:space="preserve"> </w:t>
            </w:r>
            <w:r w:rsidRPr="00EA04F0">
              <w:rPr>
                <w:rFonts w:ascii="Lato"/>
                <w:color w:val="231F20"/>
                <w:sz w:val="20"/>
                <w:szCs w:val="20"/>
              </w:rPr>
              <w:t>loss</w:t>
            </w:r>
            <w:r w:rsidRPr="00EA04F0">
              <w:rPr>
                <w:rFonts w:ascii="Lato"/>
                <w:color w:val="231F20"/>
                <w:spacing w:val="-1"/>
                <w:sz w:val="20"/>
                <w:szCs w:val="20"/>
              </w:rPr>
              <w:t xml:space="preserve"> </w:t>
            </w:r>
            <w:r w:rsidRPr="00EA04F0">
              <w:rPr>
                <w:rFonts w:ascii="Lato"/>
                <w:color w:val="231F20"/>
                <w:sz w:val="20"/>
                <w:szCs w:val="20"/>
              </w:rPr>
              <w:t>or</w:t>
            </w:r>
            <w:r w:rsidRPr="00EA04F0">
              <w:rPr>
                <w:rFonts w:ascii="Lato"/>
                <w:color w:val="231F20"/>
                <w:spacing w:val="-1"/>
                <w:sz w:val="20"/>
                <w:szCs w:val="20"/>
              </w:rPr>
              <w:t xml:space="preserve"> </w:t>
            </w:r>
            <w:r w:rsidRPr="00EA04F0">
              <w:rPr>
                <w:rFonts w:ascii="Lato"/>
                <w:color w:val="231F20"/>
                <w:sz w:val="20"/>
                <w:szCs w:val="20"/>
              </w:rPr>
              <w:t>damage</w:t>
            </w:r>
            <w:r w:rsidRPr="00EA04F0">
              <w:rPr>
                <w:rFonts w:ascii="Lato"/>
                <w:color w:val="231F20"/>
                <w:spacing w:val="-1"/>
                <w:sz w:val="20"/>
                <w:szCs w:val="20"/>
              </w:rPr>
              <w:t xml:space="preserve"> </w:t>
            </w:r>
            <w:r w:rsidRPr="00EA04F0">
              <w:rPr>
                <w:rFonts w:ascii="Lato"/>
                <w:color w:val="231F20"/>
                <w:sz w:val="20"/>
                <w:szCs w:val="20"/>
              </w:rPr>
              <w:t>to</w:t>
            </w:r>
            <w:r w:rsidRPr="00EA04F0">
              <w:rPr>
                <w:rFonts w:ascii="Lato"/>
                <w:color w:val="231F20"/>
                <w:spacing w:val="-2"/>
                <w:sz w:val="20"/>
                <w:szCs w:val="20"/>
              </w:rPr>
              <w:t xml:space="preserve"> </w:t>
            </w:r>
            <w:r w:rsidRPr="00EA04F0">
              <w:rPr>
                <w:rFonts w:ascii="Lato"/>
                <w:color w:val="231F20"/>
                <w:sz w:val="20"/>
                <w:szCs w:val="20"/>
              </w:rPr>
              <w:t>building</w:t>
            </w:r>
            <w:r w:rsidRPr="00EA04F0">
              <w:rPr>
                <w:rFonts w:ascii="Lato"/>
                <w:color w:val="231F20"/>
                <w:spacing w:val="-1"/>
                <w:sz w:val="20"/>
                <w:szCs w:val="20"/>
              </w:rPr>
              <w:t xml:space="preserve"> </w:t>
            </w:r>
            <w:r w:rsidRPr="00EA04F0">
              <w:rPr>
                <w:rFonts w:ascii="Lato"/>
                <w:color w:val="231F20"/>
                <w:sz w:val="20"/>
                <w:szCs w:val="20"/>
              </w:rPr>
              <w:t>directly</w:t>
            </w:r>
            <w:r w:rsidRPr="00EA04F0">
              <w:rPr>
                <w:rFonts w:ascii="Lato"/>
                <w:color w:val="231F20"/>
                <w:spacing w:val="-1"/>
                <w:sz w:val="20"/>
                <w:szCs w:val="20"/>
              </w:rPr>
              <w:t xml:space="preserve"> </w:t>
            </w:r>
            <w:r w:rsidRPr="00EA04F0">
              <w:rPr>
                <w:rFonts w:ascii="Lato"/>
                <w:color w:val="231F20"/>
                <w:sz w:val="20"/>
                <w:szCs w:val="20"/>
              </w:rPr>
              <w:t>caused</w:t>
            </w:r>
            <w:r w:rsidRPr="00EA04F0">
              <w:rPr>
                <w:rFonts w:ascii="Lato"/>
                <w:color w:val="231F20"/>
                <w:spacing w:val="-1"/>
                <w:sz w:val="20"/>
                <w:szCs w:val="20"/>
              </w:rPr>
              <w:t xml:space="preserve"> </w:t>
            </w:r>
            <w:r w:rsidRPr="00EA04F0">
              <w:rPr>
                <w:rFonts w:ascii="Lato"/>
                <w:color w:val="231F20"/>
                <w:spacing w:val="-2"/>
                <w:sz w:val="20"/>
                <w:szCs w:val="20"/>
              </w:rPr>
              <w:t xml:space="preserve">by </w:t>
            </w:r>
            <w:r w:rsidRPr="00EA04F0">
              <w:rPr>
                <w:rFonts w:ascii="Lato"/>
                <w:color w:val="231F20"/>
                <w:sz w:val="20"/>
                <w:szCs w:val="20"/>
              </w:rPr>
              <w:t>fire</w:t>
            </w:r>
            <w:r w:rsidRPr="00EA04F0">
              <w:rPr>
                <w:rFonts w:ascii="Lato"/>
                <w:color w:val="231F20"/>
                <w:spacing w:val="-1"/>
                <w:sz w:val="20"/>
                <w:szCs w:val="20"/>
              </w:rPr>
              <w:t xml:space="preserve"> </w:t>
            </w:r>
            <w:r w:rsidRPr="00EA04F0">
              <w:rPr>
                <w:rFonts w:ascii="Lato"/>
                <w:color w:val="231F20"/>
                <w:sz w:val="20"/>
                <w:szCs w:val="20"/>
              </w:rPr>
              <w:t>or</w:t>
            </w:r>
            <w:r w:rsidRPr="00EA04F0">
              <w:rPr>
                <w:rFonts w:ascii="Lato"/>
                <w:color w:val="231F20"/>
                <w:spacing w:val="-1"/>
                <w:sz w:val="20"/>
                <w:szCs w:val="20"/>
              </w:rPr>
              <w:t xml:space="preserve"> </w:t>
            </w:r>
            <w:r w:rsidRPr="00EA04F0">
              <w:rPr>
                <w:rFonts w:ascii="Lato"/>
                <w:color w:val="231F20"/>
                <w:sz w:val="20"/>
                <w:szCs w:val="20"/>
              </w:rPr>
              <w:t>other</w:t>
            </w:r>
            <w:r w:rsidRPr="00EA04F0">
              <w:rPr>
                <w:rFonts w:ascii="Lato"/>
                <w:color w:val="231F20"/>
                <w:spacing w:val="29"/>
                <w:sz w:val="20"/>
                <w:szCs w:val="20"/>
              </w:rPr>
              <w:t xml:space="preserve"> </w:t>
            </w:r>
            <w:r w:rsidRPr="00EA04F0">
              <w:rPr>
                <w:rFonts w:ascii="Lato"/>
                <w:color w:val="231F20"/>
                <w:sz w:val="20"/>
                <w:szCs w:val="20"/>
              </w:rPr>
              <w:t>listed perils.</w:t>
            </w:r>
          </w:p>
          <w:p w:rsidR="00EA04F0" w:rsidRPr="00EA04F0" w:rsidRDefault="00EA04F0" w:rsidP="00EA04F0">
            <w:pPr>
              <w:pStyle w:val="ListParagraph"/>
              <w:numPr>
                <w:ilvl w:val="0"/>
                <w:numId w:val="11"/>
              </w:numPr>
              <w:tabs>
                <w:tab w:val="left" w:pos="1069"/>
              </w:tabs>
              <w:spacing w:before="63" w:line="275" w:lineRule="auto"/>
              <w:ind w:right="1206"/>
              <w:rPr>
                <w:rFonts w:ascii="Lato"/>
                <w:b/>
                <w:color w:val="231F20"/>
                <w:spacing w:val="-1"/>
                <w:sz w:val="20"/>
                <w:szCs w:val="20"/>
              </w:rPr>
            </w:pPr>
            <w:r w:rsidRPr="00EA04F0">
              <w:rPr>
                <w:rFonts w:ascii="Lato"/>
                <w:b/>
                <w:color w:val="231F20"/>
                <w:spacing w:val="-1"/>
                <w:sz w:val="20"/>
                <w:szCs w:val="20"/>
              </w:rPr>
              <w:t xml:space="preserve">Content cover (owner and tenant): </w:t>
            </w:r>
            <w:r w:rsidRPr="00EA04F0">
              <w:rPr>
                <w:rFonts w:ascii="Lato"/>
                <w:color w:val="231F20"/>
                <w:spacing w:val="-1"/>
                <w:sz w:val="20"/>
                <w:szCs w:val="20"/>
              </w:rPr>
              <w:t>Covers loss or damage to home contents directly caused by fire or other listed perils.</w:t>
            </w:r>
          </w:p>
          <w:p w:rsidR="00EA04F0" w:rsidRPr="00EA04F0" w:rsidRDefault="00EA04F0" w:rsidP="00EA04F0">
            <w:pPr>
              <w:pStyle w:val="ListParagraph"/>
              <w:numPr>
                <w:ilvl w:val="0"/>
                <w:numId w:val="11"/>
              </w:numPr>
              <w:tabs>
                <w:tab w:val="left" w:pos="1069"/>
              </w:tabs>
              <w:spacing w:before="63" w:line="275" w:lineRule="auto"/>
              <w:ind w:right="1206"/>
              <w:rPr>
                <w:rFonts w:ascii="Lato" w:eastAsia="Lato" w:hAnsi="Lato" w:cs="Lato"/>
                <w:sz w:val="20"/>
                <w:szCs w:val="20"/>
              </w:rPr>
            </w:pPr>
          </w:p>
          <w:p w:rsidR="00EA04F0" w:rsidRPr="00EA04F0" w:rsidRDefault="00EA04F0" w:rsidP="00B54B38">
            <w:pPr>
              <w:pStyle w:val="NoSpacing"/>
              <w:ind w:left="90"/>
              <w:rPr>
                <w:rFonts w:ascii="Lato" w:hAnsi="Lato"/>
                <w:spacing w:val="-4"/>
                <w:sz w:val="20"/>
                <w:szCs w:val="20"/>
              </w:rPr>
            </w:pPr>
          </w:p>
        </w:tc>
      </w:tr>
      <w:tr w:rsidR="00EA04F0" w:rsidRPr="00827B0B" w:rsidTr="00EA04F0">
        <w:trPr>
          <w:trHeight w:hRule="exact" w:val="249"/>
        </w:trPr>
        <w:tc>
          <w:tcPr>
            <w:tcW w:w="13512" w:type="dxa"/>
            <w:tcBorders>
              <w:top w:val="single" w:sz="5" w:space="0" w:color="AD9A63"/>
              <w:left w:val="single" w:sz="5" w:space="0" w:color="AD9A63"/>
              <w:bottom w:val="single" w:sz="5" w:space="0" w:color="AD9A63"/>
              <w:right w:val="single" w:sz="5" w:space="0" w:color="AD9A63"/>
            </w:tcBorders>
          </w:tcPr>
          <w:p w:rsidR="00EA04F0" w:rsidRPr="00EA04F0" w:rsidRDefault="00EA04F0" w:rsidP="00EA04F0">
            <w:pPr>
              <w:pStyle w:val="Heading1"/>
              <w:ind w:left="102"/>
              <w:rPr>
                <w:color w:val="A39161"/>
                <w:spacing w:val="-1"/>
                <w:sz w:val="20"/>
                <w:szCs w:val="20"/>
              </w:rPr>
            </w:pPr>
            <w:r w:rsidRPr="00EA04F0">
              <w:rPr>
                <w:color w:val="A39161"/>
                <w:spacing w:val="-1"/>
                <w:sz w:val="20"/>
                <w:szCs w:val="20"/>
              </w:rPr>
              <w:t>Additional Benefits</w:t>
            </w:r>
          </w:p>
          <w:p w:rsidR="00EA04F0" w:rsidRPr="00EA04F0" w:rsidRDefault="00EA04F0" w:rsidP="00B54B38">
            <w:pPr>
              <w:pStyle w:val="NoSpacing"/>
              <w:ind w:left="90"/>
              <w:rPr>
                <w:rFonts w:ascii="Lato" w:hAnsi="Lato"/>
                <w:spacing w:val="-1"/>
                <w:sz w:val="20"/>
                <w:szCs w:val="20"/>
              </w:rPr>
            </w:pPr>
          </w:p>
        </w:tc>
      </w:tr>
      <w:tr w:rsidR="00EA04F0" w:rsidRPr="00827B0B" w:rsidTr="00EA04F0">
        <w:trPr>
          <w:trHeight w:hRule="exact" w:val="4335"/>
        </w:trPr>
        <w:tc>
          <w:tcPr>
            <w:tcW w:w="13512" w:type="dxa"/>
            <w:tcBorders>
              <w:top w:val="single" w:sz="5" w:space="0" w:color="AD9A63"/>
              <w:left w:val="single" w:sz="5" w:space="0" w:color="AD9A63"/>
              <w:bottom w:val="single" w:sz="5" w:space="0" w:color="AD9A63"/>
              <w:right w:val="single" w:sz="5" w:space="0" w:color="AD9A63"/>
            </w:tcBorders>
          </w:tcPr>
          <w:p w:rsidR="00EA04F0" w:rsidRPr="00EA04F0" w:rsidRDefault="00EA04F0" w:rsidP="00EA04F0">
            <w:pPr>
              <w:pStyle w:val="ListParagraph"/>
              <w:numPr>
                <w:ilvl w:val="0"/>
                <w:numId w:val="11"/>
              </w:numPr>
              <w:tabs>
                <w:tab w:val="left" w:pos="1069"/>
              </w:tabs>
              <w:spacing w:before="63" w:line="275" w:lineRule="auto"/>
              <w:ind w:right="180"/>
              <w:jc w:val="both"/>
              <w:rPr>
                <w:rFonts w:ascii="Lato"/>
                <w:color w:val="231F20"/>
                <w:spacing w:val="-1"/>
                <w:sz w:val="20"/>
                <w:szCs w:val="20"/>
              </w:rPr>
            </w:pPr>
            <w:r w:rsidRPr="00EA04F0">
              <w:rPr>
                <w:rFonts w:ascii="Lato"/>
                <w:b/>
                <w:color w:val="231F20"/>
                <w:spacing w:val="-1"/>
                <w:sz w:val="20"/>
                <w:szCs w:val="20"/>
              </w:rPr>
              <w:t>Personal possessions</w:t>
            </w:r>
            <w:r w:rsidRPr="00EA04F0">
              <w:rPr>
                <w:rFonts w:ascii="Lato"/>
                <w:color w:val="231F20"/>
                <w:spacing w:val="-1"/>
                <w:sz w:val="20"/>
                <w:szCs w:val="20"/>
              </w:rPr>
              <w:t>: Covers damage or loss of valuables and personal possessions in the home.</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color w:val="231F20"/>
                <w:spacing w:val="-1"/>
                <w:sz w:val="20"/>
                <w:szCs w:val="20"/>
              </w:rPr>
            </w:pPr>
            <w:r w:rsidRPr="00EA04F0">
              <w:rPr>
                <w:rFonts w:ascii="Lato"/>
                <w:b/>
                <w:color w:val="231F20"/>
                <w:spacing w:val="-1"/>
                <w:sz w:val="20"/>
                <w:szCs w:val="20"/>
              </w:rPr>
              <w:t xml:space="preserve">Personal </w:t>
            </w:r>
            <w:proofErr w:type="spellStart"/>
            <w:r w:rsidRPr="00EA04F0">
              <w:rPr>
                <w:rFonts w:ascii="Lato"/>
                <w:b/>
                <w:color w:val="231F20"/>
                <w:spacing w:val="-1"/>
                <w:sz w:val="20"/>
                <w:szCs w:val="20"/>
              </w:rPr>
              <w:t>jewellery</w:t>
            </w:r>
            <w:proofErr w:type="spellEnd"/>
            <w:r w:rsidRPr="00EA04F0">
              <w:rPr>
                <w:rFonts w:ascii="Lato"/>
                <w:b/>
                <w:color w:val="231F20"/>
                <w:spacing w:val="-1"/>
                <w:sz w:val="20"/>
                <w:szCs w:val="20"/>
              </w:rPr>
              <w:t xml:space="preserve"> in safe:</w:t>
            </w:r>
            <w:r w:rsidRPr="00EA04F0">
              <w:rPr>
                <w:rFonts w:ascii="Lato"/>
                <w:color w:val="231F20"/>
                <w:spacing w:val="-1"/>
                <w:sz w:val="20"/>
                <w:szCs w:val="20"/>
              </w:rPr>
              <w:t xml:space="preserve"> Covers personal </w:t>
            </w:r>
            <w:proofErr w:type="spellStart"/>
            <w:r w:rsidRPr="00EA04F0">
              <w:rPr>
                <w:rFonts w:ascii="Lato"/>
                <w:color w:val="231F20"/>
                <w:spacing w:val="-1"/>
                <w:sz w:val="20"/>
                <w:szCs w:val="20"/>
              </w:rPr>
              <w:t>jewellery</w:t>
            </w:r>
            <w:proofErr w:type="spellEnd"/>
            <w:r w:rsidRPr="00EA04F0">
              <w:rPr>
                <w:rFonts w:ascii="Lato"/>
                <w:color w:val="231F20"/>
                <w:spacing w:val="-1"/>
                <w:sz w:val="20"/>
                <w:szCs w:val="20"/>
              </w:rPr>
              <w:t xml:space="preserve"> kept in the safe inside the insured home up to the limit specified in the policy.</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color w:val="231F20"/>
                <w:spacing w:val="-1"/>
                <w:sz w:val="20"/>
                <w:szCs w:val="20"/>
              </w:rPr>
            </w:pPr>
            <w:r w:rsidRPr="00EA04F0">
              <w:rPr>
                <w:rFonts w:ascii="Lato"/>
                <w:b/>
                <w:color w:val="231F20"/>
                <w:spacing w:val="-1"/>
                <w:sz w:val="20"/>
                <w:szCs w:val="20"/>
              </w:rPr>
              <w:t>Cost of replacement of locks:</w:t>
            </w:r>
            <w:r w:rsidRPr="00EA04F0">
              <w:rPr>
                <w:rFonts w:ascii="Lato"/>
                <w:color w:val="231F20"/>
                <w:spacing w:val="-1"/>
                <w:sz w:val="20"/>
                <w:szCs w:val="20"/>
              </w:rPr>
              <w:t xml:space="preserve"> Pays for locks replacement if the house keys are lost or the locks </w:t>
            </w:r>
            <w:proofErr w:type="gramStart"/>
            <w:r w:rsidRPr="00EA04F0">
              <w:rPr>
                <w:rFonts w:ascii="Lato"/>
                <w:color w:val="231F20"/>
                <w:spacing w:val="-1"/>
                <w:sz w:val="20"/>
                <w:szCs w:val="20"/>
              </w:rPr>
              <w:t>are damaged</w:t>
            </w:r>
            <w:proofErr w:type="gramEnd"/>
            <w:r w:rsidRPr="00EA04F0">
              <w:rPr>
                <w:rFonts w:ascii="Lato"/>
                <w:color w:val="231F20"/>
                <w:spacing w:val="-1"/>
                <w:sz w:val="20"/>
                <w:szCs w:val="20"/>
              </w:rPr>
              <w:t xml:space="preserve"> due to attempt of theft or burglary.</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color w:val="231F20"/>
                <w:spacing w:val="-1"/>
                <w:sz w:val="20"/>
                <w:szCs w:val="20"/>
              </w:rPr>
            </w:pPr>
            <w:r w:rsidRPr="00EA04F0">
              <w:rPr>
                <w:rFonts w:ascii="Lato"/>
                <w:b/>
                <w:color w:val="231F20"/>
                <w:spacing w:val="-1"/>
                <w:sz w:val="20"/>
                <w:szCs w:val="20"/>
              </w:rPr>
              <w:t>Theft of personal money in home:</w:t>
            </w:r>
            <w:r w:rsidRPr="00EA04F0">
              <w:rPr>
                <w:rFonts w:ascii="Lato"/>
                <w:color w:val="231F20"/>
                <w:spacing w:val="-1"/>
                <w:sz w:val="20"/>
                <w:szCs w:val="20"/>
              </w:rPr>
              <w:t xml:space="preserve"> Covers theft of personal money in the home accompanied by violent and forcible entry.</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color w:val="231F20"/>
                <w:spacing w:val="-1"/>
                <w:sz w:val="20"/>
                <w:szCs w:val="20"/>
              </w:rPr>
            </w:pPr>
            <w:r w:rsidRPr="00EA04F0">
              <w:rPr>
                <w:rFonts w:ascii="Lato"/>
                <w:b/>
                <w:color w:val="231F20"/>
                <w:spacing w:val="-1"/>
                <w:sz w:val="20"/>
                <w:szCs w:val="20"/>
              </w:rPr>
              <w:t>Visitor</w:t>
            </w:r>
            <w:r w:rsidRPr="00EA04F0">
              <w:rPr>
                <w:rFonts w:ascii="Lato"/>
                <w:b/>
                <w:color w:val="231F20"/>
                <w:spacing w:val="-1"/>
                <w:sz w:val="20"/>
                <w:szCs w:val="20"/>
              </w:rPr>
              <w:t>’</w:t>
            </w:r>
            <w:r w:rsidRPr="00EA04F0">
              <w:rPr>
                <w:rFonts w:ascii="Lato"/>
                <w:b/>
                <w:color w:val="231F20"/>
                <w:spacing w:val="-1"/>
                <w:sz w:val="20"/>
                <w:szCs w:val="20"/>
              </w:rPr>
              <w:t>s personal effects:</w:t>
            </w:r>
            <w:r w:rsidRPr="00EA04F0">
              <w:rPr>
                <w:rFonts w:ascii="Lato"/>
                <w:color w:val="231F20"/>
                <w:spacing w:val="-1"/>
                <w:sz w:val="20"/>
                <w:szCs w:val="20"/>
              </w:rPr>
              <w:t xml:space="preserve"> Covers the personal effects of visitors while at the insured home.</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color w:val="231F20"/>
                <w:spacing w:val="-1"/>
                <w:sz w:val="20"/>
                <w:szCs w:val="20"/>
              </w:rPr>
            </w:pPr>
            <w:r w:rsidRPr="00EA04F0">
              <w:rPr>
                <w:rFonts w:ascii="Lato"/>
                <w:b/>
                <w:color w:val="231F20"/>
                <w:spacing w:val="-1"/>
                <w:sz w:val="20"/>
                <w:szCs w:val="20"/>
              </w:rPr>
              <w:t>Family legal protection:</w:t>
            </w:r>
            <w:r w:rsidRPr="00EA04F0">
              <w:rPr>
                <w:rFonts w:ascii="Lato"/>
                <w:color w:val="231F20"/>
                <w:spacing w:val="-1"/>
                <w:sz w:val="20"/>
                <w:szCs w:val="20"/>
              </w:rPr>
              <w:t xml:space="preserve"> Covers legal liability for bodily injury or property damages caused by an accident in the insured home including the tenant/landlord</w:t>
            </w:r>
            <w:r w:rsidRPr="00EA04F0">
              <w:rPr>
                <w:rFonts w:ascii="Lato"/>
                <w:color w:val="231F20"/>
                <w:spacing w:val="-1"/>
                <w:sz w:val="20"/>
                <w:szCs w:val="20"/>
              </w:rPr>
              <w:t>’</w:t>
            </w:r>
            <w:r w:rsidRPr="00EA04F0">
              <w:rPr>
                <w:rFonts w:ascii="Lato"/>
                <w:color w:val="231F20"/>
                <w:spacing w:val="-1"/>
                <w:sz w:val="20"/>
                <w:szCs w:val="20"/>
              </w:rPr>
              <w:t>s legal liability and third party liability.</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color w:val="231F20"/>
                <w:spacing w:val="-1"/>
                <w:sz w:val="20"/>
                <w:szCs w:val="20"/>
              </w:rPr>
            </w:pPr>
            <w:r w:rsidRPr="00EA04F0">
              <w:rPr>
                <w:rFonts w:ascii="Lato"/>
                <w:b/>
                <w:color w:val="231F20"/>
                <w:spacing w:val="-1"/>
                <w:sz w:val="20"/>
                <w:szCs w:val="20"/>
              </w:rPr>
              <w:t>Emergency home assist:</w:t>
            </w:r>
            <w:r w:rsidRPr="00EA04F0">
              <w:rPr>
                <w:rFonts w:ascii="Lato"/>
                <w:color w:val="231F20"/>
                <w:spacing w:val="-1"/>
                <w:sz w:val="20"/>
                <w:szCs w:val="20"/>
              </w:rPr>
              <w:t xml:space="preserve"> Covers the emergency repairs related to plumbing, electrical, locksmith and glazing.</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color w:val="231F20"/>
                <w:spacing w:val="-1"/>
                <w:sz w:val="20"/>
                <w:szCs w:val="20"/>
              </w:rPr>
            </w:pPr>
            <w:r w:rsidRPr="00EA04F0">
              <w:rPr>
                <w:rFonts w:ascii="Lato"/>
                <w:b/>
                <w:color w:val="231F20"/>
                <w:spacing w:val="-1"/>
                <w:sz w:val="20"/>
                <w:szCs w:val="20"/>
              </w:rPr>
              <w:t>Home repair services:</w:t>
            </w:r>
            <w:r w:rsidRPr="00EA04F0">
              <w:rPr>
                <w:rFonts w:ascii="Lato"/>
                <w:color w:val="231F20"/>
                <w:spacing w:val="-1"/>
                <w:sz w:val="20"/>
                <w:szCs w:val="20"/>
              </w:rPr>
              <w:t xml:space="preserve"> This service </w:t>
            </w:r>
            <w:proofErr w:type="gramStart"/>
            <w:r w:rsidRPr="00EA04F0">
              <w:rPr>
                <w:rFonts w:ascii="Lato"/>
                <w:color w:val="231F20"/>
                <w:spacing w:val="-1"/>
                <w:sz w:val="20"/>
                <w:szCs w:val="20"/>
              </w:rPr>
              <w:t>is related</w:t>
            </w:r>
            <w:proofErr w:type="gramEnd"/>
            <w:r w:rsidRPr="00EA04F0">
              <w:rPr>
                <w:rFonts w:ascii="Lato"/>
                <w:color w:val="231F20"/>
                <w:spacing w:val="-1"/>
                <w:sz w:val="20"/>
                <w:szCs w:val="20"/>
              </w:rPr>
              <w:t xml:space="preserve"> to claim for non-emergency repair works which, if approved and covered under the Policy, will be provided on a cashless basis.</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color w:val="231F20"/>
                <w:spacing w:val="-1"/>
                <w:sz w:val="20"/>
                <w:szCs w:val="20"/>
              </w:rPr>
            </w:pPr>
            <w:r w:rsidRPr="00EA04F0">
              <w:rPr>
                <w:rFonts w:ascii="Lato"/>
                <w:b/>
                <w:color w:val="231F20"/>
                <w:spacing w:val="-1"/>
                <w:sz w:val="20"/>
                <w:szCs w:val="20"/>
              </w:rPr>
              <w:t>Connection services:</w:t>
            </w:r>
            <w:r w:rsidRPr="00EA04F0">
              <w:rPr>
                <w:rFonts w:ascii="Lato"/>
                <w:color w:val="231F20"/>
                <w:spacing w:val="-1"/>
                <w:sz w:val="20"/>
                <w:szCs w:val="20"/>
              </w:rPr>
              <w:t xml:space="preserve"> Provides you access to complete information including providers and prices with regard to any repair and renovations that you plan for your home.</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color w:val="231F20"/>
                <w:spacing w:val="-1"/>
                <w:sz w:val="20"/>
                <w:szCs w:val="20"/>
              </w:rPr>
            </w:pPr>
            <w:r w:rsidRPr="00EA04F0">
              <w:rPr>
                <w:rFonts w:ascii="Lato"/>
                <w:b/>
                <w:color w:val="231F20"/>
                <w:spacing w:val="-1"/>
                <w:sz w:val="20"/>
                <w:szCs w:val="20"/>
              </w:rPr>
              <w:t xml:space="preserve">Global </w:t>
            </w:r>
            <w:r>
              <w:rPr>
                <w:rFonts w:ascii="Lato"/>
                <w:b/>
                <w:color w:val="231F20"/>
                <w:spacing w:val="-1"/>
                <w:sz w:val="20"/>
                <w:szCs w:val="20"/>
              </w:rPr>
              <w:t>E</w:t>
            </w:r>
            <w:r w:rsidRPr="00EA04F0">
              <w:rPr>
                <w:rFonts w:ascii="Lato"/>
                <w:b/>
                <w:color w:val="231F20"/>
                <w:spacing w:val="-1"/>
                <w:sz w:val="20"/>
                <w:szCs w:val="20"/>
              </w:rPr>
              <w:t xml:space="preserve">mergency </w:t>
            </w:r>
            <w:r>
              <w:rPr>
                <w:rFonts w:ascii="Lato"/>
                <w:b/>
                <w:color w:val="231F20"/>
                <w:spacing w:val="-1"/>
                <w:sz w:val="20"/>
                <w:szCs w:val="20"/>
              </w:rPr>
              <w:t>A</w:t>
            </w:r>
            <w:r w:rsidRPr="00EA04F0">
              <w:rPr>
                <w:rFonts w:ascii="Lato"/>
                <w:b/>
                <w:color w:val="231F20"/>
                <w:spacing w:val="-1"/>
                <w:sz w:val="20"/>
                <w:szCs w:val="20"/>
              </w:rPr>
              <w:t>ssistance:</w:t>
            </w:r>
            <w:r w:rsidRPr="00EA04F0">
              <w:rPr>
                <w:rFonts w:ascii="Lato"/>
                <w:color w:val="231F20"/>
                <w:spacing w:val="-1"/>
                <w:sz w:val="20"/>
                <w:szCs w:val="20"/>
              </w:rPr>
              <w:t xml:space="preserve"> This cover provides a wide range of assistance services while you are travelling.</w:t>
            </w:r>
          </w:p>
          <w:p w:rsidR="00EA04F0" w:rsidRPr="00EA04F0" w:rsidRDefault="00EA04F0" w:rsidP="00B54B38">
            <w:pPr>
              <w:pStyle w:val="NoSpacing"/>
              <w:ind w:left="90"/>
              <w:rPr>
                <w:rFonts w:ascii="Lato" w:hAnsi="Lato"/>
                <w:spacing w:val="-1"/>
                <w:sz w:val="20"/>
                <w:szCs w:val="20"/>
              </w:rPr>
            </w:pPr>
          </w:p>
        </w:tc>
      </w:tr>
      <w:tr w:rsidR="00EA04F0" w:rsidRPr="00827B0B" w:rsidTr="00EA04F0">
        <w:trPr>
          <w:trHeight w:hRule="exact" w:val="267"/>
        </w:trPr>
        <w:tc>
          <w:tcPr>
            <w:tcW w:w="13512" w:type="dxa"/>
            <w:tcBorders>
              <w:top w:val="single" w:sz="5" w:space="0" w:color="AD9A63"/>
              <w:left w:val="single" w:sz="5" w:space="0" w:color="AD9A63"/>
              <w:bottom w:val="single" w:sz="5" w:space="0" w:color="AD9A63"/>
              <w:right w:val="single" w:sz="5" w:space="0" w:color="AD9A63"/>
            </w:tcBorders>
          </w:tcPr>
          <w:p w:rsidR="00EA04F0" w:rsidRPr="00EA04F0" w:rsidRDefault="00EA04F0" w:rsidP="00EA04F0">
            <w:pPr>
              <w:pStyle w:val="Heading1"/>
              <w:ind w:left="102"/>
              <w:rPr>
                <w:color w:val="A39161"/>
                <w:spacing w:val="-1"/>
                <w:sz w:val="20"/>
                <w:szCs w:val="20"/>
              </w:rPr>
            </w:pPr>
            <w:r w:rsidRPr="00EA04F0">
              <w:rPr>
                <w:color w:val="A39161"/>
                <w:spacing w:val="-1"/>
                <w:sz w:val="20"/>
                <w:szCs w:val="20"/>
              </w:rPr>
              <w:t>Optional Benefits</w:t>
            </w:r>
          </w:p>
          <w:p w:rsidR="00EA04F0" w:rsidRPr="00B54B38" w:rsidRDefault="00EA04F0" w:rsidP="00B54B38">
            <w:pPr>
              <w:pStyle w:val="NoSpacing"/>
              <w:ind w:left="90"/>
              <w:rPr>
                <w:rFonts w:ascii="Lato" w:hAnsi="Lato"/>
                <w:spacing w:val="-1"/>
                <w:sz w:val="18"/>
                <w:szCs w:val="18"/>
              </w:rPr>
            </w:pPr>
          </w:p>
        </w:tc>
      </w:tr>
      <w:tr w:rsidR="00EA04F0" w:rsidRPr="00827B0B" w:rsidTr="00EA04F0">
        <w:trPr>
          <w:trHeight w:hRule="exact" w:val="1977"/>
        </w:trPr>
        <w:tc>
          <w:tcPr>
            <w:tcW w:w="13512" w:type="dxa"/>
            <w:tcBorders>
              <w:top w:val="single" w:sz="5" w:space="0" w:color="AD9A63"/>
              <w:left w:val="single" w:sz="5" w:space="0" w:color="AD9A63"/>
              <w:bottom w:val="single" w:sz="5" w:space="0" w:color="AD9A63"/>
              <w:right w:val="single" w:sz="5" w:space="0" w:color="AD9A63"/>
            </w:tcBorders>
          </w:tcPr>
          <w:p w:rsidR="00EA04F0" w:rsidRDefault="00EA04F0" w:rsidP="00EA04F0">
            <w:pPr>
              <w:pStyle w:val="ListParagraph"/>
              <w:numPr>
                <w:ilvl w:val="0"/>
                <w:numId w:val="11"/>
              </w:numPr>
              <w:tabs>
                <w:tab w:val="left" w:pos="1069"/>
              </w:tabs>
              <w:spacing w:before="63" w:line="275" w:lineRule="auto"/>
              <w:ind w:right="180"/>
              <w:jc w:val="both"/>
              <w:rPr>
                <w:rFonts w:ascii="Lato"/>
                <w:b/>
                <w:color w:val="231F20"/>
                <w:spacing w:val="-1"/>
                <w:sz w:val="20"/>
                <w:szCs w:val="20"/>
              </w:rPr>
            </w:pPr>
            <w:r>
              <w:rPr>
                <w:rFonts w:ascii="Lato"/>
                <w:b/>
                <w:color w:val="231F20"/>
                <w:spacing w:val="-1"/>
                <w:sz w:val="20"/>
                <w:szCs w:val="20"/>
              </w:rPr>
              <w:t xml:space="preserve">Alternative Accommodation:  </w:t>
            </w:r>
            <w:r w:rsidRPr="00EA04F0">
              <w:rPr>
                <w:rFonts w:ascii="Lato"/>
                <w:color w:val="231F20"/>
                <w:spacing w:val="-1"/>
                <w:sz w:val="20"/>
                <w:szCs w:val="20"/>
              </w:rPr>
              <w:t xml:space="preserve">Covers the reasonable cost of an alternative </w:t>
            </w:r>
            <w:proofErr w:type="gramStart"/>
            <w:r w:rsidRPr="00EA04F0">
              <w:rPr>
                <w:rFonts w:ascii="Lato"/>
                <w:color w:val="231F20"/>
                <w:spacing w:val="-1"/>
                <w:sz w:val="20"/>
                <w:szCs w:val="20"/>
              </w:rPr>
              <w:t>accommodation which</w:t>
            </w:r>
            <w:proofErr w:type="gramEnd"/>
            <w:r w:rsidRPr="00EA04F0">
              <w:rPr>
                <w:rFonts w:ascii="Lato"/>
                <w:color w:val="231F20"/>
                <w:spacing w:val="-1"/>
                <w:sz w:val="20"/>
                <w:szCs w:val="20"/>
              </w:rPr>
              <w:t xml:space="preserve"> you have incurred whilst the covered home is </w:t>
            </w:r>
            <w:r>
              <w:rPr>
                <w:rFonts w:ascii="Lato"/>
                <w:color w:val="231F20"/>
                <w:spacing w:val="-1"/>
                <w:sz w:val="20"/>
                <w:szCs w:val="20"/>
              </w:rPr>
              <w:t>un</w:t>
            </w:r>
            <w:r w:rsidRPr="00EA04F0">
              <w:rPr>
                <w:rFonts w:ascii="Lato"/>
                <w:color w:val="231F20"/>
                <w:spacing w:val="-1"/>
                <w:sz w:val="20"/>
                <w:szCs w:val="20"/>
              </w:rPr>
              <w:t>inhabitable</w:t>
            </w:r>
            <w:r>
              <w:rPr>
                <w:rFonts w:ascii="Lato"/>
                <w:color w:val="231F20"/>
                <w:spacing w:val="-1"/>
                <w:sz w:val="20"/>
                <w:szCs w:val="20"/>
              </w:rPr>
              <w:t>.</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b/>
                <w:color w:val="231F20"/>
                <w:spacing w:val="-1"/>
                <w:sz w:val="20"/>
                <w:szCs w:val="20"/>
              </w:rPr>
            </w:pPr>
            <w:r w:rsidRPr="00EA04F0">
              <w:rPr>
                <w:rFonts w:ascii="Lato"/>
                <w:b/>
                <w:color w:val="231F20"/>
                <w:spacing w:val="-1"/>
                <w:sz w:val="20"/>
                <w:szCs w:val="20"/>
              </w:rPr>
              <w:t xml:space="preserve">Loss of rent: </w:t>
            </w:r>
            <w:r w:rsidRPr="00EA04F0">
              <w:rPr>
                <w:rFonts w:ascii="Lato"/>
                <w:color w:val="231F20"/>
                <w:spacing w:val="-1"/>
                <w:sz w:val="20"/>
                <w:szCs w:val="20"/>
              </w:rPr>
              <w:t>Covers the loss of rent paid by the tenant or the loss of rent received by the owner due to damage caused to the building by any of the insured perils.</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color w:val="231F20"/>
                <w:spacing w:val="-1"/>
                <w:sz w:val="20"/>
                <w:szCs w:val="20"/>
              </w:rPr>
            </w:pPr>
            <w:r w:rsidRPr="00EA04F0">
              <w:rPr>
                <w:rFonts w:ascii="Lato"/>
                <w:b/>
                <w:color w:val="231F20"/>
                <w:spacing w:val="-1"/>
                <w:sz w:val="20"/>
                <w:szCs w:val="20"/>
              </w:rPr>
              <w:t xml:space="preserve">Domestic cover: </w:t>
            </w:r>
            <w:r w:rsidRPr="00EA04F0">
              <w:rPr>
                <w:rFonts w:ascii="Lato"/>
                <w:color w:val="231F20"/>
                <w:spacing w:val="-1"/>
                <w:sz w:val="20"/>
                <w:szCs w:val="20"/>
              </w:rPr>
              <w:t xml:space="preserve">Covers your </w:t>
            </w:r>
            <w:proofErr w:type="gramStart"/>
            <w:r w:rsidRPr="00EA04F0">
              <w:rPr>
                <w:rFonts w:ascii="Lato"/>
                <w:color w:val="231F20"/>
                <w:spacing w:val="-1"/>
                <w:sz w:val="20"/>
                <w:szCs w:val="20"/>
              </w:rPr>
              <w:t>maid</w:t>
            </w:r>
            <w:proofErr w:type="gramEnd"/>
            <w:r w:rsidRPr="00EA04F0">
              <w:rPr>
                <w:rFonts w:ascii="Lato"/>
                <w:color w:val="231F20"/>
                <w:spacing w:val="-1"/>
                <w:sz w:val="20"/>
                <w:szCs w:val="20"/>
              </w:rPr>
              <w:t>, driver or babysitter in the event of death, disability or accidental injury while at your premises.</w:t>
            </w:r>
          </w:p>
          <w:p w:rsidR="00EA04F0" w:rsidRPr="00EA04F0" w:rsidRDefault="00EA04F0" w:rsidP="00EA04F0">
            <w:pPr>
              <w:pStyle w:val="ListParagraph"/>
              <w:numPr>
                <w:ilvl w:val="0"/>
                <w:numId w:val="11"/>
              </w:numPr>
              <w:tabs>
                <w:tab w:val="left" w:pos="1069"/>
              </w:tabs>
              <w:spacing w:before="63" w:line="275" w:lineRule="auto"/>
              <w:ind w:right="180"/>
              <w:jc w:val="both"/>
              <w:rPr>
                <w:rFonts w:ascii="Lato"/>
                <w:b/>
                <w:color w:val="231F20"/>
                <w:spacing w:val="-1"/>
                <w:sz w:val="20"/>
                <w:szCs w:val="20"/>
              </w:rPr>
            </w:pPr>
            <w:r w:rsidRPr="00EA04F0">
              <w:rPr>
                <w:rFonts w:ascii="Lato"/>
                <w:b/>
                <w:color w:val="231F20"/>
                <w:spacing w:val="-1"/>
                <w:sz w:val="20"/>
                <w:szCs w:val="20"/>
              </w:rPr>
              <w:t xml:space="preserve">Fatal injury to self and spouse: </w:t>
            </w:r>
            <w:r w:rsidRPr="00EA04F0">
              <w:rPr>
                <w:rFonts w:ascii="Lato"/>
                <w:color w:val="231F20"/>
                <w:spacing w:val="-1"/>
                <w:sz w:val="20"/>
                <w:szCs w:val="20"/>
              </w:rPr>
              <w:t>Covers the eventuality of a fatal injury to you and your spouse caused by any of the insured perils.</w:t>
            </w:r>
          </w:p>
          <w:p w:rsidR="00EA04F0" w:rsidRPr="00B54B38" w:rsidRDefault="00EA04F0" w:rsidP="00B54B38">
            <w:pPr>
              <w:pStyle w:val="NoSpacing"/>
              <w:ind w:left="90"/>
              <w:rPr>
                <w:rFonts w:ascii="Lato" w:hAnsi="Lato"/>
                <w:spacing w:val="-1"/>
                <w:sz w:val="18"/>
                <w:szCs w:val="18"/>
              </w:rPr>
            </w:pPr>
          </w:p>
        </w:tc>
      </w:tr>
    </w:tbl>
    <w:p w:rsidR="00AE4DDE" w:rsidRPr="00177947" w:rsidRDefault="00AE4DDE" w:rsidP="00EA04F0">
      <w:pPr>
        <w:rPr>
          <w:rFonts w:ascii="Lato" w:hAnsi="Lato"/>
          <w:sz w:val="18"/>
          <w:szCs w:val="18"/>
        </w:rPr>
      </w:pPr>
      <w:r>
        <w:rPr>
          <w:sz w:val="18"/>
          <w:szCs w:val="18"/>
        </w:rPr>
        <w:tab/>
      </w:r>
      <w:r>
        <w:rPr>
          <w:sz w:val="18"/>
          <w:szCs w:val="18"/>
        </w:rPr>
        <w:tab/>
      </w:r>
    </w:p>
    <w:p w:rsidR="00AE4DDE" w:rsidRPr="00827B0B" w:rsidRDefault="00AE4DDE" w:rsidP="00177947">
      <w:pPr>
        <w:ind w:left="1260" w:hanging="180"/>
        <w:rPr>
          <w:sz w:val="18"/>
          <w:szCs w:val="18"/>
        </w:rPr>
      </w:pPr>
      <w:r>
        <w:rPr>
          <w:sz w:val="18"/>
          <w:szCs w:val="18"/>
        </w:rPr>
        <w:tab/>
      </w:r>
      <w:r>
        <w:rPr>
          <w:sz w:val="18"/>
          <w:szCs w:val="18"/>
        </w:rPr>
        <w:tab/>
      </w:r>
    </w:p>
    <w:sectPr w:rsidR="00AE4DDE" w:rsidRPr="00827B0B" w:rsidSect="00177947">
      <w:headerReference w:type="default" r:id="rId7"/>
      <w:type w:val="continuous"/>
      <w:pgSz w:w="15840" w:h="12240" w:orient="landscape"/>
      <w:pgMar w:top="870" w:right="1000" w:bottom="280" w:left="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05" w:rsidRDefault="00920A05" w:rsidP="00B54B38">
      <w:r>
        <w:separator/>
      </w:r>
    </w:p>
  </w:endnote>
  <w:endnote w:type="continuationSeparator" w:id="0">
    <w:p w:rsidR="00920A05" w:rsidRDefault="00920A05" w:rsidP="00B5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05" w:rsidRDefault="00920A05" w:rsidP="00B54B38">
      <w:r>
        <w:separator/>
      </w:r>
    </w:p>
  </w:footnote>
  <w:footnote w:type="continuationSeparator" w:id="0">
    <w:p w:rsidR="00920A05" w:rsidRDefault="00920A05" w:rsidP="00B5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F0" w:rsidRDefault="00F74836">
    <w:pPr>
      <w:pStyle w:val="Header"/>
    </w:pPr>
    <w:r>
      <w:rPr>
        <w:noProof/>
        <w:lang w:val="en-GB" w:eastAsia="en-GB"/>
      </w:rPr>
      <w:drawing>
        <wp:anchor distT="0" distB="0" distL="114300" distR="114300" simplePos="0" relativeHeight="251658240" behindDoc="0" locked="0" layoutInCell="1" allowOverlap="1">
          <wp:simplePos x="0" y="0"/>
          <wp:positionH relativeFrom="margin">
            <wp:posOffset>647700</wp:posOffset>
          </wp:positionH>
          <wp:positionV relativeFrom="paragraph">
            <wp:posOffset>-142875</wp:posOffset>
          </wp:positionV>
          <wp:extent cx="3162300" cy="7879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87927"/>
                  </a:xfrm>
                  <a:prstGeom prst="rect">
                    <a:avLst/>
                  </a:prstGeom>
                  <a:noFill/>
                </pic:spPr>
              </pic:pic>
            </a:graphicData>
          </a:graphic>
          <wp14:sizeRelH relativeFrom="page">
            <wp14:pctWidth>0</wp14:pctWidth>
          </wp14:sizeRelH>
          <wp14:sizeRelV relativeFrom="page">
            <wp14:pctHeight>0</wp14:pctHeight>
          </wp14:sizeRelV>
        </wp:anchor>
      </w:drawing>
    </w:r>
  </w:p>
  <w:p w:rsidR="00EA04F0" w:rsidRDefault="00EA04F0">
    <w:pPr>
      <w:pStyle w:val="Header"/>
    </w:pPr>
  </w:p>
  <w:p w:rsidR="00B54B38" w:rsidRDefault="00B54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632"/>
    <w:multiLevelType w:val="hybridMultilevel"/>
    <w:tmpl w:val="FE6651E4"/>
    <w:lvl w:ilvl="0" w:tplc="EB56F4C4">
      <w:start w:val="1"/>
      <w:numFmt w:val="bullet"/>
      <w:lvlText w:val=""/>
      <w:lvlJc w:val="left"/>
      <w:pPr>
        <w:ind w:left="1800" w:hanging="360"/>
      </w:pPr>
      <w:rPr>
        <w:rFonts w:ascii="Lato" w:hAnsi="Lato" w:hint="default"/>
        <w:color w:val="AD9A63"/>
        <w:w w:val="45"/>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95860"/>
    <w:multiLevelType w:val="hybridMultilevel"/>
    <w:tmpl w:val="414A10C0"/>
    <w:lvl w:ilvl="0" w:tplc="EB56F4C4">
      <w:start w:val="1"/>
      <w:numFmt w:val="bullet"/>
      <w:lvlText w:val=""/>
      <w:lvlJc w:val="left"/>
      <w:pPr>
        <w:ind w:left="1800" w:hanging="360"/>
      </w:pPr>
      <w:rPr>
        <w:rFonts w:ascii="Lato" w:hAnsi="Lato" w:hint="default"/>
        <w:color w:val="AD9A63"/>
        <w:w w:val="45"/>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16111"/>
    <w:multiLevelType w:val="hybridMultilevel"/>
    <w:tmpl w:val="47308DB4"/>
    <w:lvl w:ilvl="0" w:tplc="EB56F4C4">
      <w:start w:val="1"/>
      <w:numFmt w:val="bullet"/>
      <w:lvlText w:val=""/>
      <w:lvlJc w:val="left"/>
      <w:pPr>
        <w:ind w:left="1800" w:hanging="360"/>
      </w:pPr>
      <w:rPr>
        <w:rFonts w:ascii="Lato" w:hAnsi="Lato" w:hint="default"/>
        <w:color w:val="AD9A63"/>
        <w:w w:val="45"/>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A01F4"/>
    <w:multiLevelType w:val="hybridMultilevel"/>
    <w:tmpl w:val="AB72A406"/>
    <w:lvl w:ilvl="0" w:tplc="A92215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035CD"/>
    <w:multiLevelType w:val="hybridMultilevel"/>
    <w:tmpl w:val="6FBE4E86"/>
    <w:lvl w:ilvl="0" w:tplc="17243AFA">
      <w:start w:val="1"/>
      <w:numFmt w:val="bullet"/>
      <w:lvlText w:val="·"/>
      <w:lvlJc w:val="left"/>
      <w:pPr>
        <w:ind w:left="1800" w:hanging="360"/>
      </w:pPr>
      <w:rPr>
        <w:rFonts w:ascii="Symbol" w:eastAsia="Symbol" w:hAnsi="Symbol" w:hint="default"/>
        <w:color w:val="AD9A63"/>
        <w:w w:val="45"/>
        <w:sz w:val="18"/>
        <w:szCs w:val="18"/>
      </w:rPr>
    </w:lvl>
    <w:lvl w:ilvl="1" w:tplc="C54806E6">
      <w:numFmt w:val="bullet"/>
      <w:lvlText w:val=""/>
      <w:lvlJc w:val="left"/>
      <w:pPr>
        <w:ind w:left="2520" w:hanging="360"/>
      </w:pPr>
      <w:rPr>
        <w:rFonts w:ascii="Symbol" w:eastAsiaTheme="minorHAnsi" w:hAnsi="Symbol"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EF7506"/>
    <w:multiLevelType w:val="hybridMultilevel"/>
    <w:tmpl w:val="F6441988"/>
    <w:lvl w:ilvl="0" w:tplc="EB56F4C4">
      <w:start w:val="1"/>
      <w:numFmt w:val="bullet"/>
      <w:lvlText w:val=""/>
      <w:lvlJc w:val="left"/>
      <w:pPr>
        <w:ind w:left="1800" w:hanging="360"/>
      </w:pPr>
      <w:rPr>
        <w:rFonts w:ascii="Lato" w:hAnsi="Lato" w:hint="default"/>
        <w:color w:val="AD9A63"/>
        <w:w w:val="45"/>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B986C4E8">
      <w:start w:val="1"/>
      <w:numFmt w:val="bullet"/>
      <w:lvlText w:val=""/>
      <w:lvlJc w:val="left"/>
      <w:pPr>
        <w:ind w:left="5040" w:hanging="360"/>
      </w:pPr>
      <w:rPr>
        <w:rFonts w:ascii="Symbol" w:hAnsi="Symbol" w:hint="default"/>
        <w:color w:val="AE9A64"/>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9123F"/>
    <w:multiLevelType w:val="hybridMultilevel"/>
    <w:tmpl w:val="7640E414"/>
    <w:lvl w:ilvl="0" w:tplc="5B5A14BA">
      <w:start w:val="1"/>
      <w:numFmt w:val="bullet"/>
      <w:lvlText w:val="•"/>
      <w:lvlJc w:val="left"/>
      <w:pPr>
        <w:ind w:left="810" w:hanging="360"/>
      </w:pPr>
      <w:rPr>
        <w:rFonts w:ascii="Lato" w:eastAsia="Lato" w:hAnsi="Lato" w:hint="default"/>
        <w:color w:val="A39161"/>
        <w:sz w:val="16"/>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3756DD5"/>
    <w:multiLevelType w:val="hybridMultilevel"/>
    <w:tmpl w:val="AEC09BE0"/>
    <w:lvl w:ilvl="0" w:tplc="5B5A14BA">
      <w:start w:val="1"/>
      <w:numFmt w:val="bullet"/>
      <w:lvlText w:val="•"/>
      <w:lvlJc w:val="left"/>
      <w:pPr>
        <w:ind w:left="1068" w:hanging="124"/>
      </w:pPr>
      <w:rPr>
        <w:rFonts w:ascii="Lato" w:eastAsia="Lato" w:hAnsi="Lato" w:hint="default"/>
        <w:color w:val="A39161"/>
        <w:sz w:val="16"/>
        <w:szCs w:val="16"/>
      </w:rPr>
    </w:lvl>
    <w:lvl w:ilvl="1" w:tplc="7FD8E2D2">
      <w:start w:val="1"/>
      <w:numFmt w:val="bullet"/>
      <w:lvlText w:val="•"/>
      <w:lvlJc w:val="left"/>
      <w:pPr>
        <w:ind w:left="1840" w:hanging="124"/>
      </w:pPr>
      <w:rPr>
        <w:rFonts w:hint="default"/>
      </w:rPr>
    </w:lvl>
    <w:lvl w:ilvl="2" w:tplc="2C4229BC">
      <w:start w:val="1"/>
      <w:numFmt w:val="bullet"/>
      <w:lvlText w:val="•"/>
      <w:lvlJc w:val="left"/>
      <w:pPr>
        <w:ind w:left="2612" w:hanging="124"/>
      </w:pPr>
      <w:rPr>
        <w:rFonts w:hint="default"/>
      </w:rPr>
    </w:lvl>
    <w:lvl w:ilvl="3" w:tplc="65F01D52">
      <w:start w:val="1"/>
      <w:numFmt w:val="bullet"/>
      <w:lvlText w:val="•"/>
      <w:lvlJc w:val="left"/>
      <w:pPr>
        <w:ind w:left="3384" w:hanging="124"/>
      </w:pPr>
      <w:rPr>
        <w:rFonts w:hint="default"/>
      </w:rPr>
    </w:lvl>
    <w:lvl w:ilvl="4" w:tplc="27E618B8">
      <w:start w:val="1"/>
      <w:numFmt w:val="bullet"/>
      <w:lvlText w:val="•"/>
      <w:lvlJc w:val="left"/>
      <w:pPr>
        <w:ind w:left="4156" w:hanging="124"/>
      </w:pPr>
      <w:rPr>
        <w:rFonts w:hint="default"/>
      </w:rPr>
    </w:lvl>
    <w:lvl w:ilvl="5" w:tplc="ACC481BA">
      <w:start w:val="1"/>
      <w:numFmt w:val="bullet"/>
      <w:lvlText w:val="•"/>
      <w:lvlJc w:val="left"/>
      <w:pPr>
        <w:ind w:left="4927" w:hanging="124"/>
      </w:pPr>
      <w:rPr>
        <w:rFonts w:hint="default"/>
      </w:rPr>
    </w:lvl>
    <w:lvl w:ilvl="6" w:tplc="20CA2EE0">
      <w:start w:val="1"/>
      <w:numFmt w:val="bullet"/>
      <w:lvlText w:val="•"/>
      <w:lvlJc w:val="left"/>
      <w:pPr>
        <w:ind w:left="5699" w:hanging="124"/>
      </w:pPr>
      <w:rPr>
        <w:rFonts w:hint="default"/>
      </w:rPr>
    </w:lvl>
    <w:lvl w:ilvl="7" w:tplc="CA48D29E">
      <w:start w:val="1"/>
      <w:numFmt w:val="bullet"/>
      <w:lvlText w:val="•"/>
      <w:lvlJc w:val="left"/>
      <w:pPr>
        <w:ind w:left="6471" w:hanging="124"/>
      </w:pPr>
      <w:rPr>
        <w:rFonts w:hint="default"/>
      </w:rPr>
    </w:lvl>
    <w:lvl w:ilvl="8" w:tplc="7666A6AA">
      <w:start w:val="1"/>
      <w:numFmt w:val="bullet"/>
      <w:lvlText w:val="•"/>
      <w:lvlJc w:val="left"/>
      <w:pPr>
        <w:ind w:left="7243" w:hanging="124"/>
      </w:pPr>
      <w:rPr>
        <w:rFonts w:hint="default"/>
      </w:rPr>
    </w:lvl>
  </w:abstractNum>
  <w:abstractNum w:abstractNumId="8" w15:restartNumberingAfterBreak="0">
    <w:nsid w:val="59D339E4"/>
    <w:multiLevelType w:val="hybridMultilevel"/>
    <w:tmpl w:val="55003330"/>
    <w:lvl w:ilvl="0" w:tplc="17243AFA">
      <w:start w:val="1"/>
      <w:numFmt w:val="bullet"/>
      <w:lvlText w:val="·"/>
      <w:lvlJc w:val="left"/>
      <w:pPr>
        <w:ind w:left="720" w:hanging="360"/>
      </w:pPr>
      <w:rPr>
        <w:rFonts w:ascii="Symbol" w:eastAsia="Symbol" w:hAnsi="Symbol" w:hint="default"/>
        <w:color w:val="AD9A63"/>
        <w:w w:val="45"/>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E3601"/>
    <w:multiLevelType w:val="hybridMultilevel"/>
    <w:tmpl w:val="7EE6D8EA"/>
    <w:lvl w:ilvl="0" w:tplc="EB56F4C4">
      <w:start w:val="1"/>
      <w:numFmt w:val="bullet"/>
      <w:lvlText w:val=""/>
      <w:lvlJc w:val="left"/>
      <w:pPr>
        <w:ind w:left="1800" w:hanging="360"/>
      </w:pPr>
      <w:rPr>
        <w:rFonts w:ascii="Lato" w:hAnsi="Lato" w:hint="default"/>
        <w:color w:val="AD9A63"/>
        <w:w w:val="45"/>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307086D0">
      <w:start w:val="1"/>
      <w:numFmt w:val="bullet"/>
      <w:lvlText w:val=""/>
      <w:lvlJc w:val="left"/>
      <w:pPr>
        <w:ind w:left="5040" w:hanging="360"/>
      </w:pPr>
      <w:rPr>
        <w:rFonts w:ascii="Symbol" w:hAnsi="Symbol" w:hint="default"/>
        <w:color w:val="AE9A64"/>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17662"/>
    <w:multiLevelType w:val="hybridMultilevel"/>
    <w:tmpl w:val="DAB85C3E"/>
    <w:lvl w:ilvl="0" w:tplc="17243AFA">
      <w:start w:val="1"/>
      <w:numFmt w:val="bullet"/>
      <w:lvlText w:val="·"/>
      <w:lvlJc w:val="left"/>
      <w:pPr>
        <w:ind w:left="720" w:hanging="360"/>
      </w:pPr>
      <w:rPr>
        <w:rFonts w:ascii="Symbol" w:eastAsia="Symbol" w:hAnsi="Symbol" w:hint="default"/>
        <w:color w:val="AD9A63"/>
        <w:w w:val="45"/>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8"/>
  </w:num>
  <w:num w:numId="5">
    <w:abstractNumId w:val="0"/>
  </w:num>
  <w:num w:numId="6">
    <w:abstractNumId w:val="1"/>
  </w:num>
  <w:num w:numId="7">
    <w:abstractNumId w:val="2"/>
  </w:num>
  <w:num w:numId="8">
    <w:abstractNumId w:val="9"/>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10"/>
    <w:rsid w:val="000279B9"/>
    <w:rsid w:val="00047404"/>
    <w:rsid w:val="000E258B"/>
    <w:rsid w:val="000F2497"/>
    <w:rsid w:val="00177947"/>
    <w:rsid w:val="00285357"/>
    <w:rsid w:val="00370942"/>
    <w:rsid w:val="00516EED"/>
    <w:rsid w:val="005F76E3"/>
    <w:rsid w:val="00764410"/>
    <w:rsid w:val="00790D89"/>
    <w:rsid w:val="008079D3"/>
    <w:rsid w:val="00827B0B"/>
    <w:rsid w:val="00920A05"/>
    <w:rsid w:val="00A524A7"/>
    <w:rsid w:val="00AC3472"/>
    <w:rsid w:val="00AE4DDE"/>
    <w:rsid w:val="00B54B38"/>
    <w:rsid w:val="00CC3574"/>
    <w:rsid w:val="00DF4990"/>
    <w:rsid w:val="00EA04F0"/>
    <w:rsid w:val="00F74836"/>
    <w:rsid w:val="00F75C23"/>
    <w:rsid w:val="00FF6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953EA88"/>
  <w15:docId w15:val="{61593B20-D212-4F25-82EF-6AAD24A9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EA04F0"/>
    <w:pPr>
      <w:ind w:left="944"/>
      <w:outlineLvl w:val="0"/>
    </w:pPr>
    <w:rPr>
      <w:rFonts w:ascii="Lato" w:eastAsia="Lato" w:hAnsi="Lat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24A7"/>
    <w:rPr>
      <w:rFonts w:ascii="Tahoma" w:hAnsi="Tahoma" w:cs="Tahoma"/>
      <w:sz w:val="16"/>
      <w:szCs w:val="16"/>
    </w:rPr>
  </w:style>
  <w:style w:type="character" w:customStyle="1" w:styleId="BalloonTextChar">
    <w:name w:val="Balloon Text Char"/>
    <w:basedOn w:val="DefaultParagraphFont"/>
    <w:link w:val="BalloonText"/>
    <w:uiPriority w:val="99"/>
    <w:semiHidden/>
    <w:rsid w:val="00A524A7"/>
    <w:rPr>
      <w:rFonts w:ascii="Tahoma" w:hAnsi="Tahoma" w:cs="Tahoma"/>
      <w:sz w:val="16"/>
      <w:szCs w:val="16"/>
    </w:rPr>
  </w:style>
  <w:style w:type="paragraph" w:styleId="Header">
    <w:name w:val="header"/>
    <w:basedOn w:val="Normal"/>
    <w:link w:val="HeaderChar"/>
    <w:uiPriority w:val="99"/>
    <w:unhideWhenUsed/>
    <w:rsid w:val="00B54B38"/>
    <w:pPr>
      <w:tabs>
        <w:tab w:val="center" w:pos="4680"/>
        <w:tab w:val="right" w:pos="9360"/>
      </w:tabs>
    </w:pPr>
  </w:style>
  <w:style w:type="character" w:customStyle="1" w:styleId="HeaderChar">
    <w:name w:val="Header Char"/>
    <w:basedOn w:val="DefaultParagraphFont"/>
    <w:link w:val="Header"/>
    <w:uiPriority w:val="99"/>
    <w:rsid w:val="00B54B38"/>
  </w:style>
  <w:style w:type="paragraph" w:styleId="Footer">
    <w:name w:val="footer"/>
    <w:basedOn w:val="Normal"/>
    <w:link w:val="FooterChar"/>
    <w:uiPriority w:val="99"/>
    <w:unhideWhenUsed/>
    <w:rsid w:val="00B54B38"/>
    <w:pPr>
      <w:tabs>
        <w:tab w:val="center" w:pos="4680"/>
        <w:tab w:val="right" w:pos="9360"/>
      </w:tabs>
    </w:pPr>
  </w:style>
  <w:style w:type="character" w:customStyle="1" w:styleId="FooterChar">
    <w:name w:val="Footer Char"/>
    <w:basedOn w:val="DefaultParagraphFont"/>
    <w:link w:val="Footer"/>
    <w:uiPriority w:val="99"/>
    <w:rsid w:val="00B54B38"/>
  </w:style>
  <w:style w:type="paragraph" w:styleId="NoSpacing">
    <w:name w:val="No Spacing"/>
    <w:uiPriority w:val="1"/>
    <w:qFormat/>
    <w:rsid w:val="00B54B38"/>
  </w:style>
  <w:style w:type="character" w:customStyle="1" w:styleId="Heading1Char">
    <w:name w:val="Heading 1 Char"/>
    <w:basedOn w:val="DefaultParagraphFont"/>
    <w:link w:val="Heading1"/>
    <w:uiPriority w:val="1"/>
    <w:rsid w:val="00EA04F0"/>
    <w:rPr>
      <w:rFonts w:ascii="Lato" w:eastAsia="Lato" w:hAnsi="Lato"/>
      <w:b/>
      <w:bCs/>
      <w:sz w:val="18"/>
      <w:szCs w:val="18"/>
    </w:rPr>
  </w:style>
  <w:style w:type="paragraph" w:styleId="BodyText">
    <w:name w:val="Body Text"/>
    <w:basedOn w:val="Normal"/>
    <w:link w:val="BodyTextChar"/>
    <w:uiPriority w:val="1"/>
    <w:qFormat/>
    <w:rsid w:val="00EA04F0"/>
    <w:pPr>
      <w:ind w:left="1068" w:hanging="124"/>
    </w:pPr>
    <w:rPr>
      <w:rFonts w:ascii="Lato" w:eastAsia="Lato" w:hAnsi="Lato"/>
      <w:sz w:val="16"/>
      <w:szCs w:val="16"/>
    </w:rPr>
  </w:style>
  <w:style w:type="character" w:customStyle="1" w:styleId="BodyTextChar">
    <w:name w:val="Body Text Char"/>
    <w:basedOn w:val="DefaultParagraphFont"/>
    <w:link w:val="BodyText"/>
    <w:uiPriority w:val="1"/>
    <w:rsid w:val="00EA04F0"/>
    <w:rPr>
      <w:rFonts w:ascii="Lato" w:eastAsia="Lato" w:hAnsi="La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Rachel Beth Awad</cp:lastModifiedBy>
  <cp:revision>3</cp:revision>
  <cp:lastPrinted>2017-03-09T12:35:00Z</cp:lastPrinted>
  <dcterms:created xsi:type="dcterms:W3CDTF">2018-03-11T14:28:00Z</dcterms:created>
  <dcterms:modified xsi:type="dcterms:W3CDTF">2018-07-04T04:50:00Z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LastSaved">
    <vt:filetime>2017-01-10T00:00:00Z</vt:filetime>
  </property>
</Properties>
</file>